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05:40 МСК · База обновлена: 25.07.2026, 05:04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49 лет госпитализируется для проведения курса радионуклидной терапии 153Sm-оксабифор.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тянущие умеренно-выраженные боли в области правого тазобедренного сустава, ягодичной области справа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марте 2015 года выявлено повышение уровня ПСА до 28,8 нг/мл, по данным дообследования - рак предстательной железы T3bN1M1a+b. Начат курс гормональной терапии. В 04.2015 года выполнена радикальная позадилонная простатэктомия. В 10.2015 года проведен курс ДЛТ на область поражения Th11 позвонка, СОД 30 Гр. Прогрессирование в 09.2016 - выполнена тазовая лимфаденэктомия. В 10.2017 проведен курс радионуклидной терапии 153Sm-оксабифор.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Кожные покровы чистые, телесной окраски. Органы дыхания: При аускультации дыхание в легких везикулярное, проводится во все отделы. Хрипы не выслушиваются. ЧД: 17 движ./мин. Система кровообращения: при аускультации тоны сердца приглушены, ритмичные. АД: 130/80 мм рт. ст, ЧСС: 72 уд./мин, пульс: 72 уд./мин.</w:t>
      </w:r>
    </w:p>
    <w:p>
      <w:pPr>
        <w:pStyle w:val="Heading2"/>
      </w:pPr>
      <w:r>
        <w:t>1.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Перед проведением радионуклидной терапии 153Sm-оксабифором диагностическое исследование производят с его тераностической парой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99mTc-технефит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99mTc-теоксим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99mTc-технефор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99mTc-технетрил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99mTc-технефор</w:t>
      </w:r>
    </w:p>
    <w:p>
      <w:pPr>
        <w:ind w:left="504"/>
      </w:pPr>
      <w:r>
        <w:rPr>
          <w:b w:val="0"/>
          <w:i/>
        </w:rPr>
        <w:t>По данным последующей остеоцинтиграфии с самарием-153 в очагах поражения регистрируются накопление препарата в 2-3 и более раза выше, чем в симметричных участках здоровой ткани. Эти данные обычно соответствуют результатам диагностики с остеотропными соединениями99mТс, в связи с чем она может использоваться в качестве критерия отбора для радионуклидной терапии препаратом Самарий,153Sm оксабифор.</w:t>
        <w:br/>
        <w:br/>
        <w:t>Ссылка на источник:</w:t>
        <w:br/>
        <w:br/>
        <w:t>Инструкция по медицинскому применению препарата 153Sm-оксабифор. Регистрационный номер: Р N000008/01 от 18.01.10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норме, максимум выведения 153Sm-оксабифора приходится на первые +________+ часов/часа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12-24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8-12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8-12</w:t>
      </w:r>
    </w:p>
    <w:p>
      <w:pPr>
        <w:ind w:left="504"/>
      </w:pPr>
      <w:r>
        <w:rPr>
          <w:b w:val="0"/>
          <w:i/>
        </w:rPr>
        <w:t>В норме, максимум выведения 153Sm-оксабифора приходится на первые 8-12 часов</w:t>
        <w:br/>
        <w:br/>
        <w:t>Патент РФ N 2162714, МПК</w:t>
        <w:br/>
        <w:br/>
      </w:r>
      <w:hyperlink r:id="rId21">
        <w:r>
          <w:rPr>
            <w:color w:val="173C49"/>
            <w:u w:val="single"/>
          </w:rPr>
          <w:t>A61K51/04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A61K51/00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A61P35/04</w:t>
        </w:r>
      </w:hyperlink>
      <w:r>
        <w:rPr>
          <w:b w:val="0"/>
          <w:i/>
        </w:rPr>
        <w:br/>
        <w:br/>
        <w:t>подача заявки: 20.06.2000, публикация патента: 10.02.2001.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Комплекс 99mTc-технефор в костной ткани накапливается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катионами Ca2+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гидроксиапатитами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анионами Р-5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мукополисахаридами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гидроксиапатитами</w:t>
      </w:r>
    </w:p>
    <w:p>
      <w:pPr>
        <w:ind w:left="504"/>
      </w:pPr>
      <w:r>
        <w:rPr>
          <w:b w:val="0"/>
          <w:i/>
        </w:rPr>
        <w:t>В костной ткани данные комплексы связываются с кристаллами гидроксиапатитов и незрелым коллагеном.</w:t>
        <w:br/>
        <w:br/>
        <w:t>Ссылка на источник:</w:t>
        <w:br/>
        <w:br/>
        <w:t>Лишманова Ю.Б. Национальное руководство по радионуклидной диагностике / под ред. Ю.Б. Лишманова, В.И. Чернова. - Том. 2. - Томск, 2010. ст. 252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Исследования с 153Sm-оксабифором выполняется с использованием колиматоров LEGP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Pin-hole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MEGP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HEGP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LEHR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LEHR</w:t>
      </w:r>
    </w:p>
    <w:p>
      <w:pPr>
        <w:ind w:left="504"/>
      </w:pPr>
      <w:r>
        <w:rPr>
          <w:b w:val="0"/>
          <w:i/>
        </w:rPr>
        <w:t>Радионуклид самарий- 153 испускает гамма-кванты с энергией 69,7 и 106 кэВ и выходами 5,4 и 28% соответственно.</w:t>
        <w:br/>
        <w:br/>
        <w:t>Патент РФ N 2162714, МПК A61K51/04 A61K51/00 A61P35/04, подача заявки: 20.06.2000, публикация патента: 10.02.2001.</w:t>
        <w:br/>
        <w:br/>
        <w:t>Для проведения сцинтиграфических исследований с радионуклидами, обладающими различными энергиями излучения используют низко-, средне- и высокоэнергетические коллиматоры (табл. 1.3.2.).</w:t>
        <w:br/>
        <w:br/>
        <w:t>НАЦИОНАЛЬНОЕ РУКОВОДСТВО ПО РАДИОНУКЛИДНОЙ ДИАГНОСТИКЕ под редакцией Ю.Б. Лишманова, В.И. Чернова. - Том. 1. г.Томск 2010г. (с. 42)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распаде изотопа 153Sm образуются _____ виды излучения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α+β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α+γ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β+γ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α+β+γ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β+γ</w:t>
      </w:r>
    </w:p>
    <w:p>
      <w:pPr>
        <w:ind w:left="504"/>
      </w:pPr>
      <w:r>
        <w:rPr>
          <w:b w:val="0"/>
          <w:i/>
        </w:rPr>
        <w:t>При распаде изотопа 153Sm образуются β+γ виды излучения.</w:t>
        <w:br/>
        <w:br/>
        <w:t>НАЦИОНАЛЬНОЕ РУКОВОДСТВО ПО РАДИОНУКЛИДНОЙ ДИАГНОСТИКЕ под редакцией Ю.Б. Лишманова, В.И. Чернова. - Том. 1. г.Томск 2010г. ст. 65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Максимальное накопление 99mТс-Технефора, в скелете, наблюдается через _____ часа/час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</w:t>
      </w:r>
    </w:p>
    <w:p>
      <w:pPr>
        <w:ind w:left="504"/>
      </w:pPr>
      <w:r>
        <w:rPr>
          <w:b w:val="0"/>
          <w:i/>
        </w:rPr>
        <w:t>Максимальное накопление 99mТс-Технефора, в скелете, наблюдается через 3 часа</w:t>
        <w:br/>
        <w:br/>
        <w:t>Инструкция по медицинскому применению Технефора,99mТc - РУ № ЛС-002366 Дата последнего изменения: 28.09.2011</w:t>
      </w:r>
    </w:p>
    <w:p>
      <w:pPr>
        <w:pStyle w:val="Heading2"/>
      </w:pPr>
      <w:r>
        <w:t>2. Оценка результатов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Данный тип сканирования (Слайд 1)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статической сцинтиграфией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динамической сцинтиграфией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планарной сцинтиграфией в режиме «whole body»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ОФЭКТ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планарной сцинтиграфией в режиме «whole body»</w:t>
      </w:r>
    </w:p>
    <w:p>
      <w:pPr>
        <w:ind w:left="504"/>
      </w:pPr>
      <w:r>
        <w:rPr>
          <w:b w:val="0"/>
          <w:i/>
        </w:rPr>
        <w:t>Сцинтиграфия всего тела – усовершенствованный вариант статической сцинтиграфии. Специальное программно-аппаратное обеспечение позволяет непрерывно регистрировать изображение при автоматическом относительном смещение стола и детектора(ов) гамма-камеры, дает возможность получить целостное изображение анатомической области, значительно превышающей размеры детектора, либо, как следует из названия, изображение всего тела.</w:t>
        <w:br/>
        <w:br/>
        <w:t>Ссылка на источник:</w:t>
        <w:br/>
        <w:br/>
        <w:t>Радионуклидная диагностика: Учебное пособие для врачей / С.П. Паша, С.К. Терновой. - М.: ГЭОТАР- Медиа, 2008. Ст. 9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планарной сцинтиграфии (Слайд 2) отмечается наличие патологических очагов накопления в проекциях ребер, грудного и шейного отдела позвоночника, а также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костях правой стопы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шейке правой бедренной 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правом ключично-акромиальном суставе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правом коленном суставе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шейке правой бедренной кости</w:t>
      </w:r>
    </w:p>
    <w:p>
      <w:pPr>
        <w:ind w:left="504"/>
      </w:pPr>
      <w:r>
        <w:rPr>
          <w:b w:val="0"/>
          <w:i/>
        </w:rPr>
        <w:t>Препарат Самарий, 153Sm оксабифор обладает способностью избирательно накапливаться в метастатических и воспалительно-деструктивных очагах в костной ткани. По данным последующей остеоцинтиграфии с самарием-153 в очагах поражения регистрируются накопление препарата в 2-3 и более раза выше, чем в симметричных участках здоровой ткани.</w:t>
        <w:br/>
        <w:br/>
        <w:t>Ссылка на источник:</w:t>
        <w:br/>
        <w:br/>
        <w:t>Инструкция по медицинскому применению препарата 153Sm-оксабифор. Регистрационный номер: Р N000008/01 от 18.01.10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Дополнительным исследованием для уточнения локализации и характера очагов накопления в данном случае является (Слайд 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ОФЭКТ/КТ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ОФЭКТ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ОФЭКТ/КТ</w:t>
      </w:r>
    </w:p>
    <w:p>
      <w:pPr>
        <w:ind w:left="504"/>
      </w:pPr>
      <w:r>
        <w:rPr>
          <w:b w:val="0"/>
          <w:i/>
        </w:rPr>
        <w:t>ОФЭКТ/КТ позволяет проводить осуществление прямой корреляции анатомической (локализация объёмных образований, структурные изменения в органах исследуемого уровня) и функциональной информации (накопление РФП, тропных к определенному органу или ткани).</w:t>
        <w:br/>
        <w:br/>
        <w:t>Ссылка на источник:</w:t>
        <w:br/>
        <w:br/>
        <w:t>Стандарты УЗИ, РКТ, МРТ, ОФЭКТ, ПЭТ/КТ и АГ исследований в онкологии. Под редакцией: Б.И. Долгушина и И.Е. Тюрина г.Москва-2018 ст.-114.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 Слайде 3 представлен тип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ОФЭКТ/КТ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ОФЭКТ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ОФЭКТ/КТ</w:t>
      </w:r>
    </w:p>
    <w:p>
      <w:pPr>
        <w:ind w:left="504"/>
      </w:pPr>
      <w:r>
        <w:rPr>
          <w:b w:val="0"/>
          <w:i/>
        </w:rPr>
        <w:t>Гибридная технология метода радионуклидной диагностики (ОФЭКТ КТ) обеспечивает полную интеграцию ОФЭКТ и КТ данных во время реконструкции. Безусловным преимуществом гибридного исследования является то, что КТ-данные используются и для получения подробной информации об анатомии и в дополнение к этому позволяют находить точные поправки на неоднородность ослабления, благодаря чему становится возможным количественный анализ результатов ОФЭКТ.</w:t>
        <w:br/>
        <w:br/>
        <w:t>Ссылка на источник:</w:t>
        <w:br/>
        <w:br/>
        <w:t>Стандарты УЗИ, РКТ, МРТ, ОФЭКТ, ПЭТ/КТ и АГ исследований в онкологии, под редакцией: Б.И. Долгушина и И.Е. Тюрина/ ФГБУ «Национальный медицинский исследовательский центр онкологии имени Н.Н. Блохина» Министерства здравоохранения Российской Федерации, Общество интервенционных онкорадиологов России - Москва 2018, с.114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На сканах (Слайд 4) представлена +____________+ проекция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сагиттальная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аксиальная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фронтальная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коронарная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аксиальная</w:t>
      </w:r>
    </w:p>
    <w:p>
      <w:pPr>
        <w:ind w:left="504"/>
      </w:pPr>
      <w:r>
        <w:rPr>
          <w:b w:val="0"/>
          <w:i/>
        </w:rPr>
        <w:t>Горизонтальная (аксиальная) плоскость ориентирована перпендикулярно сагиттальной и фронтальной и отделяет ниже расположенные отделы тела от вышележащих.</w:t>
        <w:br/>
        <w:br/>
        <w:t>Ссылка на источник:</w:t>
        <w:br/>
        <w:br/>
        <w:t>Анатомия человека. В 2-х томах. под ред. Сапина М.Р. г.2001, 5-е изд., Т.1. с. 25.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Стрелка на представленном изображении (Слайд 5) (при стандартной укладке) указывает на +_____________________+ кость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левую седалищную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правую лобковую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левую лобковую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правую седалищную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правую лобковую</w:t>
      </w:r>
    </w:p>
    <w:p>
      <w:pPr>
        <w:ind w:left="504"/>
      </w:pPr>
      <w:r>
        <w:rPr>
          <w:b w:val="0"/>
          <w:i/>
        </w:rPr>
        <w:t>Ссылка на источник:</w:t>
        <w:br/>
        <w:br/>
        <w:t>Атлас анатомии человека. Том 1. Остеология. Артрология. МиологияСинельников Р.Д., Синельников Я.Р., Синельников А.Я. Издание второе, стереотипное. г.Москва. 1996 г. ст. 104.</w:t>
      </w:r>
    </w:p>
    <w:p>
      <w:r>
        <w:drawing>
          <wp:inline xmlns:a="http://schemas.openxmlformats.org/drawingml/2006/main" xmlns:pic="http://schemas.openxmlformats.org/drawingml/2006/picture">
            <wp:extent cx="5303520" cy="4337065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7d141565e0c59031b5ef93f3dc2bb56d4d1315f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33706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://www.freepatent.ru/MPK/A/A61/A61K/A61K51/A61K5104" TargetMode="External"/><Relationship Id="rId22" Type="http://schemas.openxmlformats.org/officeDocument/2006/relationships/hyperlink" Target="http://www.freepatent.ru/MPK/A/A61/A61K/A61K51" TargetMode="External"/><Relationship Id="rId23" Type="http://schemas.openxmlformats.org/officeDocument/2006/relationships/hyperlink" Target="http://www.freepatent.ru/MPK/A/A61/A61P/A61P35/A61P3504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